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sz w:val="30"/>
          <w:szCs w:val="30"/>
          <w:highlight w:val="white"/>
        </w:rPr>
      </w:pPr>
      <w:r w:rsidDel="00000000" w:rsidR="00000000" w:rsidRPr="00000000">
        <w:rPr>
          <w:b w:val="1"/>
          <w:sz w:val="30"/>
          <w:szCs w:val="30"/>
          <w:highlight w:val="white"/>
          <w:rtl w:val="0"/>
        </w:rPr>
        <w:t xml:space="preserve">H+ DERGİ “SANAT HUKUKU” SERİSİ, MİMAR EMRE AROLAT VE GONCA PAŞOLAR’I AĞIRLADI.</w:t>
      </w:r>
    </w:p>
    <w:p w:rsidR="00000000" w:rsidDel="00000000" w:rsidP="00000000" w:rsidRDefault="00000000" w:rsidRPr="00000000" w14:paraId="00000002">
      <w:pPr>
        <w:spacing w:line="276" w:lineRule="auto"/>
        <w:rPr>
          <w:highlight w:val="white"/>
        </w:rPr>
      </w:pPr>
      <w:r w:rsidDel="00000000" w:rsidR="00000000" w:rsidRPr="00000000">
        <w:rPr>
          <w:b w:val="1"/>
          <w:highlight w:val="white"/>
          <w:rtl w:val="0"/>
        </w:rPr>
        <w:t xml:space="preserve">İSTANBUL – 29.09.2025 –</w:t>
      </w:r>
      <w:r w:rsidDel="00000000" w:rsidR="00000000" w:rsidRPr="00000000">
        <w:rPr>
          <w:highlight w:val="white"/>
          <w:rtl w:val="0"/>
        </w:rPr>
        <w:t xml:space="preserve"> Hukuk ve sanatın kesişim noktasını irdeleyen H+ Dergi’nin “Sanat Hukuku” serisi, beşinci bölümünde Türkiye ve dünya mimarisinin öncü isimlerinden Mimar Emre Arolat ve Mimar Gonca Paşolar’ı konuk etti. Av. Alperen Gökhan ve Av. Tayfur Koç’un moderatörlüğünde, EAA-Emre Arolat Architecture ofisinde gerçekleştirilen programda, mimari tasarım süreçlerindeki yasal düzenlemeler, fikri mülkiyet hakları, restorasyon etiği ve kentsel hafıza gibi kritik konular masaya yatırıldı.</w:t>
      </w:r>
    </w:p>
    <w:p w:rsidR="00000000" w:rsidDel="00000000" w:rsidP="00000000" w:rsidRDefault="00000000" w:rsidRPr="00000000" w14:paraId="00000003">
      <w:pPr>
        <w:spacing w:line="276" w:lineRule="auto"/>
        <w:rPr>
          <w:highlight w:val="white"/>
        </w:rPr>
      </w:pPr>
      <w:r w:rsidDel="00000000" w:rsidR="00000000" w:rsidRPr="00000000">
        <w:rPr>
          <w:highlight w:val="white"/>
          <w:rtl w:val="0"/>
        </w:rPr>
        <w:t xml:space="preserve">Programda, mimarların sıkça şikâyet ettiği yasal kısıtlamaların aslında bir engel değil, yaratıcılığı tetikleyen bir unsur olduğu vurgulandı. Mimar Gonca Paşolar, “Biz kısıttan şikâyet etmek yerine, o kısıtı mevzuatlar içinde ne kadar zorlayabileceğimize konsantre oluyoruz. Yaratıcılık, bu kısıtlarla nelere ulaştığınız problemidir,” diyerek tasarım felsefelerini özetledi. Emre Arolat ise Los Angeles’ta bir yönetmelik maddesinden yola çıkarak tasarladıkları ve fark yaratan projeyi örnek vererek, “O kısıt, bazen çok faydalı bir şey üretebilir,” dedi.</w:t>
      </w:r>
    </w:p>
    <w:p w:rsidR="00000000" w:rsidDel="00000000" w:rsidP="00000000" w:rsidRDefault="00000000" w:rsidRPr="00000000" w14:paraId="00000004">
      <w:pPr>
        <w:spacing w:line="276" w:lineRule="auto"/>
        <w:rPr>
          <w:b w:val="1"/>
          <w:highlight w:val="white"/>
        </w:rPr>
      </w:pPr>
      <w:r w:rsidDel="00000000" w:rsidR="00000000" w:rsidRPr="00000000">
        <w:rPr>
          <w:b w:val="1"/>
          <w:highlight w:val="white"/>
          <w:rtl w:val="0"/>
        </w:rPr>
        <w:t xml:space="preserve">“Kopyalama Çok Oldu, Uyuşmazlık Hiç Olmadı”</w:t>
      </w:r>
    </w:p>
    <w:p w:rsidR="00000000" w:rsidDel="00000000" w:rsidP="00000000" w:rsidRDefault="00000000" w:rsidRPr="00000000" w14:paraId="00000005">
      <w:pPr>
        <w:spacing w:line="276" w:lineRule="auto"/>
        <w:rPr>
          <w:highlight w:val="white"/>
        </w:rPr>
      </w:pPr>
      <w:r w:rsidDel="00000000" w:rsidR="00000000" w:rsidRPr="00000000">
        <w:rPr>
          <w:highlight w:val="white"/>
          <w:rtl w:val="0"/>
        </w:rPr>
        <w:t xml:space="preserve">Mimarlıkta fikri mülkiyet ve “taklit” kavramlarına dair ezber bozan bir bakış açısı sunan Mimar Emre Arolat, nitelikli bir sonuç ortaya çıktığı sürece esinlenmeden rahatsız olmadığını dile getirdi. “Kopyalama çok oldu, uyuşmazlık hiç olmadı. Taklitler aslında bizim alanımızı yaşatıyor,” diyen Arolat, birebir emek hırsızlığı ile benzer bir eseri üretme arasındaki farka dikkat çekti. Bu yaklaşım, sanat hukukunda sıkça tartışılan “esinlenme” ve “intihal” sınırlarına mimarların gözünden yeni bir yorum getirdi.</w:t>
      </w:r>
    </w:p>
    <w:p w:rsidR="00000000" w:rsidDel="00000000" w:rsidP="00000000" w:rsidRDefault="00000000" w:rsidRPr="00000000" w14:paraId="00000006">
      <w:pPr>
        <w:spacing w:line="276" w:lineRule="auto"/>
        <w:rPr>
          <w:b w:val="1"/>
          <w:highlight w:val="white"/>
        </w:rPr>
      </w:pPr>
      <w:r w:rsidDel="00000000" w:rsidR="00000000" w:rsidRPr="00000000">
        <w:rPr>
          <w:b w:val="1"/>
          <w:highlight w:val="white"/>
          <w:rtl w:val="0"/>
        </w:rPr>
        <w:t xml:space="preserve">Restorasyon, Mevzuat ve Mimarlığın “Oyuncak Haline” Gelmesi</w:t>
      </w:r>
    </w:p>
    <w:p w:rsidR="00000000" w:rsidDel="00000000" w:rsidP="00000000" w:rsidRDefault="00000000" w:rsidRPr="00000000" w14:paraId="00000007">
      <w:pPr>
        <w:spacing w:line="276" w:lineRule="auto"/>
        <w:rPr>
          <w:highlight w:val="white"/>
        </w:rPr>
      </w:pPr>
      <w:r w:rsidDel="00000000" w:rsidR="00000000" w:rsidRPr="00000000">
        <w:rPr>
          <w:highlight w:val="white"/>
          <w:rtl w:val="0"/>
        </w:rPr>
        <w:t xml:space="preserve">Söyleşide, İstanbul Resim Heykel Müzesi (Galataport) ve Mecdiyeköy Likör Fabrikası gibi önemli projeler üzerinden restorasyon süreçlerindeki hukuki ve etik açmazlar da ele alındı. Kent hafızasının korunması, eserin orijinal mimarının manevi hakları ve günümüz yönetmeliklerinin getirdiği zorluklar detaylıca tartışıldı.</w:t>
      </w:r>
    </w:p>
    <w:p w:rsidR="00000000" w:rsidDel="00000000" w:rsidP="00000000" w:rsidRDefault="00000000" w:rsidRPr="00000000" w14:paraId="00000008">
      <w:pPr>
        <w:spacing w:line="276" w:lineRule="auto"/>
        <w:rPr>
          <w:b w:val="1"/>
          <w:highlight w:val="white"/>
        </w:rPr>
      </w:pPr>
      <w:r w:rsidDel="00000000" w:rsidR="00000000" w:rsidRPr="00000000">
        <w:rPr>
          <w:highlight w:val="white"/>
          <w:rtl w:val="0"/>
        </w:rPr>
        <w:t xml:space="preserve">Arolat, Türkiye’deki imar yönetmeliklerinin tek tip olmasını ve belediyeler arasındaki uygulama farklılıklarını eleştirerek, “Bir belediyeden başka bir belediyeye yönetmeliğin yorumlanma biçimi değiştiğinde, mimar olarak oyuncak haline geliyorsunuz,” sözleriyle sistemdeki boşluklara ve tutarsızlıklara işaret etti.</w:t>
      </w:r>
      <w:r w:rsidDel="00000000" w:rsidR="00000000" w:rsidRPr="00000000">
        <w:rPr>
          <w:rtl w:val="0"/>
        </w:rPr>
      </w:r>
    </w:p>
    <w:p w:rsidR="00000000" w:rsidDel="00000000" w:rsidP="00000000" w:rsidRDefault="00000000" w:rsidRPr="00000000" w14:paraId="00000009">
      <w:pPr>
        <w:spacing w:after="140" w:line="331.2" w:lineRule="auto"/>
        <w:rPr>
          <w:b w:val="1"/>
          <w:highlight w:val="white"/>
        </w:rPr>
      </w:pPr>
      <w:r w:rsidDel="00000000" w:rsidR="00000000" w:rsidRPr="00000000">
        <w:rPr>
          <w:b w:val="1"/>
          <w:highlight w:val="white"/>
          <w:rtl w:val="0"/>
        </w:rPr>
        <w:t xml:space="preserve">###</w:t>
      </w:r>
    </w:p>
    <w:p w:rsidR="00000000" w:rsidDel="00000000" w:rsidP="00000000" w:rsidRDefault="00000000" w:rsidRPr="00000000" w14:paraId="0000000A">
      <w:pPr>
        <w:spacing w:after="140" w:line="331.2" w:lineRule="auto"/>
        <w:rPr>
          <w:b w:val="1"/>
          <w:highlight w:val="white"/>
        </w:rPr>
      </w:pPr>
      <w:r w:rsidDel="00000000" w:rsidR="00000000" w:rsidRPr="00000000">
        <w:rPr>
          <w:b w:val="1"/>
          <w:highlight w:val="white"/>
          <w:rtl w:val="0"/>
        </w:rPr>
        <w:t xml:space="preserve">Yayın Linki:</w:t>
      </w:r>
    </w:p>
    <w:p w:rsidR="00000000" w:rsidDel="00000000" w:rsidP="00000000" w:rsidRDefault="00000000" w:rsidRPr="00000000" w14:paraId="0000000B">
      <w:pPr>
        <w:spacing w:after="140" w:line="331.2" w:lineRule="auto"/>
        <w:rPr>
          <w:highlight w:val="white"/>
        </w:rPr>
      </w:pPr>
      <w:r w:rsidDel="00000000" w:rsidR="00000000" w:rsidRPr="00000000">
        <w:rPr>
          <w:highlight w:val="white"/>
          <w:rtl w:val="0"/>
        </w:rPr>
        <w:t xml:space="preserve">[ </w:t>
      </w:r>
      <w:hyperlink r:id="rId6">
        <w:r w:rsidDel="00000000" w:rsidR="00000000" w:rsidRPr="00000000">
          <w:rPr>
            <w:color w:val="1155cc"/>
            <w:highlight w:val="white"/>
            <w:u w:val="single"/>
            <w:rtl w:val="0"/>
          </w:rPr>
          <w:t xml:space="preserve">https://www.hplusdergi.com/video/mimari-estetik-ve-yasal-guvence-sanat-hukuku-ile-tasarimi-korumak/</w:t>
        </w:r>
      </w:hyperlink>
      <w:r w:rsidDel="00000000" w:rsidR="00000000" w:rsidRPr="00000000">
        <w:rPr>
          <w:highlight w:val="white"/>
          <w:rtl w:val="0"/>
        </w:rPr>
        <w:t xml:space="preserve"> ]</w:t>
      </w:r>
    </w:p>
    <w:p w:rsidR="00000000" w:rsidDel="00000000" w:rsidP="00000000" w:rsidRDefault="00000000" w:rsidRPr="00000000" w14:paraId="0000000C">
      <w:pPr>
        <w:spacing w:after="140" w:line="331.2" w:lineRule="auto"/>
        <w:rPr>
          <w:b w:val="1"/>
          <w:highlight w:val="white"/>
        </w:rPr>
      </w:pPr>
      <w:r w:rsidDel="00000000" w:rsidR="00000000" w:rsidRPr="00000000">
        <w:rPr>
          <w:b w:val="1"/>
          <w:highlight w:val="white"/>
          <w:rtl w:val="0"/>
        </w:rPr>
        <w:t xml:space="preserve">###</w:t>
      </w:r>
    </w:p>
    <w:p w:rsidR="00000000" w:rsidDel="00000000" w:rsidP="00000000" w:rsidRDefault="00000000" w:rsidRPr="00000000" w14:paraId="0000000D">
      <w:pPr>
        <w:spacing w:after="140" w:line="331.2" w:lineRule="auto"/>
        <w:rPr>
          <w:b w:val="1"/>
          <w:highlight w:val="white"/>
        </w:rPr>
      </w:pPr>
      <w:r w:rsidDel="00000000" w:rsidR="00000000" w:rsidRPr="00000000">
        <w:rPr>
          <w:b w:val="1"/>
          <w:highlight w:val="white"/>
          <w:rtl w:val="0"/>
        </w:rPr>
        <w:t xml:space="preserve">İletişim:</w:t>
      </w:r>
    </w:p>
    <w:p w:rsidR="00000000" w:rsidDel="00000000" w:rsidP="00000000" w:rsidRDefault="00000000" w:rsidRPr="00000000" w14:paraId="0000000E">
      <w:pPr>
        <w:spacing w:after="140" w:line="331.2" w:lineRule="auto"/>
        <w:rPr>
          <w:highlight w:val="white"/>
        </w:rPr>
      </w:pPr>
      <w:r w:rsidDel="00000000" w:rsidR="00000000" w:rsidRPr="00000000">
        <w:rPr>
          <w:highlight w:val="white"/>
          <w:rtl w:val="0"/>
        </w:rPr>
        <w:t xml:space="preserve">[ bilgi@hukukakademisi.com.tr ]</w:t>
      </w:r>
    </w:p>
    <w:p w:rsidR="00000000" w:rsidDel="00000000" w:rsidP="00000000" w:rsidRDefault="00000000" w:rsidRPr="00000000" w14:paraId="0000000F">
      <w:pPr>
        <w:spacing w:after="140" w:line="331.2" w:lineRule="auto"/>
        <w:rPr>
          <w:b w:val="1"/>
          <w:highlight w:val="white"/>
        </w:rPr>
      </w:pPr>
      <w:r w:rsidDel="00000000" w:rsidR="00000000" w:rsidRPr="00000000">
        <w:rPr>
          <w:b w:val="1"/>
          <w:highlight w:val="white"/>
          <w:rtl w:val="0"/>
        </w:rPr>
        <w:t xml:space="preserve">###</w:t>
      </w:r>
    </w:p>
    <w:p w:rsidR="00000000" w:rsidDel="00000000" w:rsidP="00000000" w:rsidRDefault="00000000" w:rsidRPr="00000000" w14:paraId="00000010">
      <w:pPr>
        <w:spacing w:after="140" w:line="331.2" w:lineRule="auto"/>
        <w:rPr>
          <w:highlight w:val="white"/>
        </w:rPr>
      </w:pPr>
      <w:r w:rsidDel="00000000" w:rsidR="00000000" w:rsidRPr="00000000">
        <w:rPr>
          <w:highlight w:val="white"/>
          <w:rtl w:val="0"/>
        </w:rPr>
        <w:t xml:space="preserve">Bu basın bülteni, Hukuk Akademisi tarafından yayınlanan “Sanat Hukuku Yayın Serisi"nin dördüncü bölümünde ele alınan konuları özetlemektedir. Basın kuruluşları bu bülteni haberleştirmekte serbesttir.</w:t>
      </w:r>
    </w:p>
    <w:p w:rsidR="00000000" w:rsidDel="00000000" w:rsidP="00000000" w:rsidRDefault="00000000" w:rsidRPr="00000000" w14:paraId="00000011">
      <w:pPr>
        <w:spacing w:after="140" w:line="331.2" w:lineRule="auto"/>
        <w:rPr>
          <w:b w:val="1"/>
          <w:highlight w:val="white"/>
        </w:rPr>
      </w:pPr>
      <w:r w:rsidDel="00000000" w:rsidR="00000000" w:rsidRPr="00000000">
        <w:rPr>
          <w:b w:val="1"/>
          <w:highlight w:val="white"/>
          <w:rtl w:val="0"/>
        </w:rPr>
        <w:t xml:space="preserve">###</w:t>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b1c1d"/>
        <w:sz w:val="24"/>
        <w:szCs w:val="24"/>
        <w:lang w:val="tr"/>
      </w:rPr>
    </w:rPrDefault>
    <w:pPrDefault>
      <w:pPr>
        <w:pBdr>
          <w:top w:color="auto" w:space="0" w:sz="0" w:val="none"/>
          <w:left w:color="auto" w:space="0" w:sz="0" w:val="none"/>
          <w:bottom w:color="auto" w:space="0" w:sz="0" w:val="none"/>
          <w:right w:color="auto" w:space="0" w:sz="0" w:val="none"/>
          <w:between w:color="auto" w:space="0" w:sz="0" w:val="none"/>
        </w:pBdr>
        <w:spacing w:after="24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80" w:lineRule="auto"/>
    </w:pPr>
    <w:rPr>
      <w:b w:val="1"/>
      <w:sz w:val="40"/>
      <w:szCs w:val="40"/>
    </w:rPr>
  </w:style>
  <w:style w:type="paragraph" w:styleId="Heading2">
    <w:name w:val="heading 2"/>
    <w:basedOn w:val="Normal"/>
    <w:next w:val="Normal"/>
    <w:pPr>
      <w:keepNext w:val="1"/>
      <w:keepLines w:val="1"/>
      <w:spacing w:after="120" w:before="360" w:lineRule="auto"/>
    </w:pPr>
    <w:rPr>
      <w:b w:val="1"/>
      <w:sz w:val="32"/>
      <w:szCs w:val="32"/>
    </w:rPr>
  </w:style>
  <w:style w:type="paragraph" w:styleId="Heading3">
    <w:name w:val="heading 3"/>
    <w:basedOn w:val="Normal"/>
    <w:next w:val="Normal"/>
    <w:pPr>
      <w:keepNext w:val="1"/>
      <w:keepLines w:val="1"/>
      <w:spacing w:after="80" w:before="320" w:line="276" w:lineRule="auto"/>
    </w:pPr>
    <w:rPr>
      <w:b w:val="1"/>
      <w:color w:val="000000"/>
      <w:sz w:val="32"/>
      <w:szCs w:val="32"/>
    </w:rPr>
  </w:style>
  <w:style w:type="paragraph" w:styleId="Heading4">
    <w:name w:val="heading 4"/>
    <w:basedOn w:val="Normal"/>
    <w:next w:val="Normal"/>
    <w:pPr>
      <w:keepNext w:val="1"/>
      <w:keepLines w:val="1"/>
      <w:spacing w:after="80" w:before="280" w:lineRule="auto"/>
    </w:pPr>
    <w:rPr>
      <w:b w:val="1"/>
      <w:color w:val="000000"/>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before="280" w:lineRule="auto"/>
    </w:pPr>
    <w:rPr>
      <w:b w:val="1"/>
      <w:sz w:val="44"/>
      <w:szCs w:val="44"/>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hplusdergi.com/video/mimari-estetik-ve-yasal-guvence-sanat-hukuku-ile-tasarimi-korum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